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sz w:val="44"/>
          <w:szCs w:val="44"/>
          <w:highlight w:val="none"/>
        </w:rPr>
      </w:pPr>
    </w:p>
    <w:p>
      <w:pPr>
        <w:pStyle w:val="11"/>
        <w:jc w:val="center"/>
        <w:rPr>
          <w:sz w:val="44"/>
          <w:szCs w:val="44"/>
          <w:highlight w:val="none"/>
        </w:rPr>
      </w:pPr>
    </w:p>
    <w:p>
      <w:pPr>
        <w:pStyle w:val="11"/>
        <w:jc w:val="center"/>
        <w:rPr>
          <w:rFonts w:hint="eastAsia"/>
          <w:sz w:val="44"/>
          <w:szCs w:val="44"/>
          <w:highlight w:val="none"/>
        </w:rPr>
      </w:pPr>
      <w:r>
        <w:rPr>
          <w:rFonts w:hint="eastAsia"/>
          <w:sz w:val="44"/>
          <w:szCs w:val="44"/>
          <w:highlight w:val="none"/>
        </w:rPr>
        <w:t>青岛特殊钢铁有限公司</w:t>
      </w:r>
    </w:p>
    <w:p>
      <w:pPr>
        <w:pStyle w:val="11"/>
        <w:jc w:val="center"/>
        <w:rPr>
          <w:rFonts w:hint="eastAsia"/>
          <w:sz w:val="44"/>
          <w:szCs w:val="44"/>
          <w:highlight w:val="none"/>
          <w:lang w:eastAsia="zh-CN"/>
        </w:rPr>
      </w:pPr>
      <w:r>
        <w:rPr>
          <w:rFonts w:hint="eastAsia"/>
          <w:sz w:val="44"/>
          <w:szCs w:val="44"/>
          <w:highlight w:val="none"/>
          <w:lang w:eastAsia="zh-CN"/>
        </w:rPr>
        <w:t>焦化厂</w:t>
      </w:r>
      <w:r>
        <w:rPr>
          <w:rFonts w:hint="eastAsia"/>
          <w:sz w:val="44"/>
          <w:szCs w:val="44"/>
          <w:highlight w:val="none"/>
        </w:rPr>
        <w:t>脱硫脱硝</w:t>
      </w:r>
      <w:r>
        <w:rPr>
          <w:rFonts w:hint="eastAsia"/>
          <w:sz w:val="44"/>
          <w:szCs w:val="44"/>
          <w:highlight w:val="none"/>
          <w:lang w:eastAsia="zh-CN"/>
        </w:rPr>
        <w:t>活性焦</w:t>
      </w:r>
    </w:p>
    <w:p>
      <w:pPr>
        <w:pStyle w:val="11"/>
        <w:jc w:val="both"/>
        <w:rPr>
          <w:rFonts w:hint="eastAsia"/>
          <w:sz w:val="44"/>
          <w:szCs w:val="44"/>
          <w:highlight w:val="none"/>
          <w:lang w:eastAsia="zh-CN"/>
        </w:rPr>
      </w:pPr>
    </w:p>
    <w:p>
      <w:pPr>
        <w:pStyle w:val="11"/>
        <w:jc w:val="center"/>
        <w:rPr>
          <w:rFonts w:hint="eastAsia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highlight w:val="none"/>
          <w:lang w:eastAsia="zh-CN"/>
        </w:rPr>
        <w:t>技</w:t>
      </w:r>
    </w:p>
    <w:p>
      <w:pPr>
        <w:pStyle w:val="11"/>
        <w:jc w:val="center"/>
        <w:rPr>
          <w:rFonts w:hint="eastAsia"/>
          <w:sz w:val="44"/>
          <w:szCs w:val="44"/>
          <w:highlight w:val="none"/>
          <w:lang w:eastAsia="zh-CN"/>
        </w:rPr>
      </w:pPr>
      <w:r>
        <w:rPr>
          <w:rFonts w:hint="eastAsia"/>
          <w:sz w:val="44"/>
          <w:szCs w:val="44"/>
          <w:highlight w:val="none"/>
          <w:lang w:eastAsia="zh-CN"/>
        </w:rPr>
        <w:t>术</w:t>
      </w:r>
    </w:p>
    <w:p>
      <w:pPr>
        <w:pStyle w:val="11"/>
        <w:jc w:val="center"/>
        <w:rPr>
          <w:rFonts w:hint="eastAsia"/>
          <w:sz w:val="44"/>
          <w:szCs w:val="44"/>
          <w:highlight w:val="none"/>
          <w:lang w:eastAsia="zh-CN"/>
        </w:rPr>
      </w:pPr>
      <w:r>
        <w:rPr>
          <w:rFonts w:hint="eastAsia"/>
          <w:sz w:val="44"/>
          <w:szCs w:val="44"/>
          <w:highlight w:val="none"/>
          <w:lang w:eastAsia="zh-CN"/>
        </w:rPr>
        <w:t>协</w:t>
      </w:r>
    </w:p>
    <w:p>
      <w:pPr>
        <w:pStyle w:val="11"/>
        <w:jc w:val="center"/>
        <w:rPr>
          <w:rFonts w:hint="eastAsia"/>
          <w:sz w:val="44"/>
          <w:szCs w:val="44"/>
          <w:highlight w:val="none"/>
          <w:lang w:eastAsia="zh-CN"/>
        </w:rPr>
      </w:pPr>
      <w:r>
        <w:rPr>
          <w:rFonts w:hint="eastAsia"/>
          <w:sz w:val="44"/>
          <w:szCs w:val="44"/>
          <w:highlight w:val="none"/>
          <w:lang w:eastAsia="zh-CN"/>
        </w:rPr>
        <w:t>议</w:t>
      </w:r>
    </w:p>
    <w:p>
      <w:pPr>
        <w:pStyle w:val="11"/>
        <w:jc w:val="center"/>
        <w:rPr>
          <w:rFonts w:hint="eastAsia"/>
          <w:sz w:val="44"/>
          <w:szCs w:val="44"/>
          <w:highlight w:val="none"/>
          <w:lang w:eastAsia="zh-CN"/>
        </w:rPr>
      </w:pPr>
    </w:p>
    <w:p>
      <w:pPr>
        <w:pStyle w:val="11"/>
        <w:jc w:val="both"/>
        <w:rPr>
          <w:sz w:val="36"/>
          <w:szCs w:val="36"/>
          <w:highlight w:val="none"/>
        </w:rPr>
      </w:pPr>
    </w:p>
    <w:p>
      <w:pPr>
        <w:ind w:firstLine="1285" w:firstLineChars="400"/>
        <w:jc w:val="left"/>
        <w:rPr>
          <w:rFonts w:hint="eastAsia" w:ascii="宋体" w:hAnsi="宋体"/>
          <w:b/>
          <w:bCs/>
          <w:sz w:val="32"/>
          <w:highlight w:val="none"/>
        </w:rPr>
      </w:pPr>
      <w:r>
        <w:rPr>
          <w:rFonts w:hint="eastAsia" w:ascii="宋体" w:hAnsi="宋体"/>
          <w:b/>
          <w:bCs/>
          <w:sz w:val="32"/>
          <w:highlight w:val="none"/>
        </w:rPr>
        <w:t>甲    方：青岛特殊钢铁有限公司</w:t>
      </w:r>
    </w:p>
    <w:p>
      <w:pPr>
        <w:tabs>
          <w:tab w:val="left" w:pos="1440"/>
        </w:tabs>
        <w:ind w:firstLine="1285" w:firstLineChars="400"/>
        <w:jc w:val="left"/>
        <w:rPr>
          <w:rFonts w:hint="eastAsia" w:ascii="宋体" w:hAnsi="宋体"/>
          <w:b/>
          <w:bCs/>
          <w:color w:val="000000"/>
          <w:sz w:val="32"/>
          <w:highlight w:val="none"/>
        </w:rPr>
      </w:pPr>
      <w:r>
        <w:rPr>
          <w:rFonts w:hint="eastAsia" w:ascii="宋体" w:hAnsi="宋体"/>
          <w:b/>
          <w:bCs/>
          <w:sz w:val="32"/>
          <w:highlight w:val="none"/>
        </w:rPr>
        <w:t>乙    方：</w:t>
      </w:r>
      <w:r>
        <w:rPr>
          <w:rFonts w:hint="eastAsia" w:ascii="宋体" w:hAnsi="宋体"/>
          <w:b/>
          <w:bCs/>
          <w:color w:val="000000"/>
          <w:sz w:val="32"/>
          <w:highlight w:val="none"/>
        </w:rPr>
        <w:t xml:space="preserve"> </w:t>
      </w:r>
    </w:p>
    <w:p>
      <w:pPr>
        <w:tabs>
          <w:tab w:val="left" w:pos="1440"/>
        </w:tabs>
        <w:ind w:firstLine="1285" w:firstLineChars="400"/>
        <w:jc w:val="left"/>
        <w:rPr>
          <w:rFonts w:hint="eastAsia" w:ascii="宋体" w:hAnsi="宋体"/>
          <w:sz w:val="32"/>
          <w:highlight w:val="none"/>
        </w:rPr>
      </w:pPr>
      <w:r>
        <w:rPr>
          <w:rFonts w:hint="eastAsia" w:ascii="宋体" w:hAnsi="宋体"/>
          <w:b/>
          <w:bCs/>
          <w:sz w:val="32"/>
          <w:highlight w:val="none"/>
        </w:rPr>
        <w:t>签订地点：</w:t>
      </w:r>
      <w:r>
        <w:rPr>
          <w:rFonts w:hint="eastAsia" w:ascii="宋体" w:hAnsi="宋体"/>
          <w:sz w:val="32"/>
          <w:highlight w:val="none"/>
        </w:rPr>
        <w:t xml:space="preserve"> </w:t>
      </w:r>
    </w:p>
    <w:p>
      <w:pPr>
        <w:ind w:firstLine="1285" w:firstLineChars="400"/>
        <w:jc w:val="left"/>
        <w:rPr>
          <w:rFonts w:hint="eastAsia" w:ascii="宋体" w:hAnsi="宋体"/>
          <w:sz w:val="32"/>
          <w:highlight w:val="none"/>
        </w:rPr>
      </w:pPr>
      <w:r>
        <w:rPr>
          <w:rFonts w:hint="eastAsia" w:ascii="宋体" w:hAnsi="宋体"/>
          <w:b/>
          <w:bCs/>
          <w:sz w:val="32"/>
          <w:highlight w:val="none"/>
        </w:rPr>
        <w:t>签订时间：</w:t>
      </w:r>
    </w:p>
    <w:p>
      <w:pPr>
        <w:pStyle w:val="11"/>
        <w:rPr>
          <w:highlight w:val="none"/>
        </w:rPr>
      </w:pPr>
      <w:r>
        <w:rPr>
          <w:rFonts w:hint="eastAsia"/>
          <w:highlight w:val="none"/>
        </w:rPr>
        <w:t xml:space="preserve">    </w:t>
      </w:r>
    </w:p>
    <w:p>
      <w:pPr>
        <w:ind w:firstLine="560" w:firstLineChars="200"/>
        <w:rPr>
          <w:rFonts w:hint="eastAsia" w:ascii="仿宋" w:hAnsi="仿宋" w:eastAsia="仿宋" w:cstheme="minorBidi"/>
          <w:bCs w:val="0"/>
          <w:kern w:val="2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  <w:t>1.活性焦用途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活性焦用于焦化厂焦炉烟道气脱硫脱硝，将活性焦通过破袋机、链斗机、皮带机、振动输送机送至吸附塔内，在吸附塔内进行脱硫脱硝，吸附饱和后的活性焦经物料输送设备进入解析塔进行解析再生，再生后的活性焦经物料输送设备重新进入吸附塔进行循环使用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  <w:t>使用位置和运行环境</w:t>
      </w:r>
    </w:p>
    <w:tbl>
      <w:tblPr>
        <w:tblStyle w:val="6"/>
        <w:tblW w:w="96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1418"/>
        <w:gridCol w:w="5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79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79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79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位置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tabs>
                <w:tab w:val="left" w:pos="79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运行环境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8" w:type="dxa"/>
            <w:noWrap w:val="0"/>
            <w:vAlign w:val="center"/>
          </w:tcPr>
          <w:p>
            <w:pPr>
              <w:tabs>
                <w:tab w:val="left" w:pos="79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tabs>
                <w:tab w:val="left" w:pos="79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活性焦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tabs>
                <w:tab w:val="left" w:pos="7920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塔体内部</w:t>
            </w:r>
          </w:p>
        </w:tc>
        <w:tc>
          <w:tcPr>
            <w:tcW w:w="5857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①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吸附塔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：温度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val="en-US" w:eastAsia="zh-CN"/>
              </w:rPr>
              <w:t>≤145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℃；</w:t>
            </w:r>
          </w:p>
          <w:p>
            <w:pPr>
              <w:jc w:val="left"/>
              <w:rPr>
                <w:rFonts w:hint="default"/>
                <w:sz w:val="24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②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解析塔：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val="en-US" w:eastAsia="zh-CN"/>
              </w:rPr>
              <w:t>380℃≤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温度≤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val="en-US" w:eastAsia="zh-CN"/>
              </w:rPr>
              <w:t>420℃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③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物料循环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：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物料流转缓慢，流转距离长，需经过设备较多，流转过程存在磨损</w:t>
            </w: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。</w:t>
            </w:r>
          </w:p>
        </w:tc>
      </w:tr>
    </w:tbl>
    <w:p>
      <w:pPr>
        <w:pStyle w:val="2"/>
        <w:numPr>
          <w:ilvl w:val="0"/>
          <w:numId w:val="2"/>
        </w:numPr>
        <w:spacing w:before="156" w:after="156"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供货内容</w:t>
      </w:r>
    </w:p>
    <w:tbl>
      <w:tblPr>
        <w:tblStyle w:val="7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25"/>
        <w:gridCol w:w="1980"/>
        <w:gridCol w:w="3060"/>
        <w:gridCol w:w="97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物料编码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图号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sz w:val="24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A18401000024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sz w:val="24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焦化脱硫脱硝用活性焦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/>
                <w:sz w:val="24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</w:rPr>
              <w:t>160万吨焦炉烟道气脱硫脱硝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/>
                <w:sz w:val="24"/>
                <w:szCs w:val="28"/>
                <w:highlight w:val="none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8"/>
                <w:highlight w:val="none"/>
                <w:vertAlign w:val="baseline"/>
                <w:lang w:eastAsia="zh-CN"/>
              </w:rPr>
              <w:t>吨</w:t>
            </w:r>
          </w:p>
        </w:tc>
      </w:tr>
    </w:tbl>
    <w:p>
      <w:pPr>
        <w:pStyle w:val="2"/>
        <w:numPr>
          <w:ilvl w:val="0"/>
          <w:numId w:val="2"/>
        </w:numPr>
        <w:spacing w:before="156" w:after="156" w:line="360" w:lineRule="auto"/>
        <w:ind w:left="0" w:leftChars="0" w:firstLine="0" w:firstLineChars="0"/>
        <w:rPr>
          <w:rFonts w:hint="eastAsia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技术要求</w:t>
      </w:r>
    </w:p>
    <w:p>
      <w:pPr>
        <w:pStyle w:val="3"/>
        <w:numPr>
          <w:ilvl w:val="0"/>
          <w:numId w:val="0"/>
        </w:numPr>
        <w:spacing w:before="156" w:after="156" w:line="360" w:lineRule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.1性能规格</w:t>
      </w:r>
    </w:p>
    <w:tbl>
      <w:tblPr>
        <w:tblStyle w:val="7"/>
        <w:tblpPr w:leftFromText="180" w:rightFromText="180" w:vertAnchor="text" w:horzAnchor="page" w:tblpX="1515" w:tblpY="194"/>
        <w:tblOverlap w:val="never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005"/>
        <w:gridCol w:w="2332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2332" w:type="dxa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技术指标</w:t>
            </w:r>
          </w:p>
        </w:tc>
        <w:tc>
          <w:tcPr>
            <w:tcW w:w="3011" w:type="dxa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测试方法标准代号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水分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(%)</w:t>
            </w:r>
          </w:p>
        </w:tc>
        <w:tc>
          <w:tcPr>
            <w:tcW w:w="2332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≤3</w:t>
            </w:r>
          </w:p>
        </w:tc>
        <w:tc>
          <w:tcPr>
            <w:tcW w:w="301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GB/T7702.1-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堆积密度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(g/L)</w:t>
            </w:r>
          </w:p>
        </w:tc>
        <w:tc>
          <w:tcPr>
            <w:tcW w:w="2332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  <w:t>550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~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011" w:type="dxa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GB/T30202.1-2013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00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粒度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分布(</w:t>
            </w:r>
            <w:r>
              <w:rPr>
                <w:rFonts w:hint="eastAsia"/>
                <w:sz w:val="24"/>
                <w:szCs w:val="24"/>
                <w:highlight w:val="none"/>
              </w:rPr>
              <w:t>%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≥11.2mm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5.0</w:t>
            </w:r>
          </w:p>
        </w:tc>
        <w:tc>
          <w:tcPr>
            <w:tcW w:w="3011" w:type="dxa"/>
            <w:vMerge w:val="restart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GB/T30202.2-2013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04" w:type="dxa"/>
            <w:vMerge w:val="continue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5" w:type="dxa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5.6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～11.20mm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90.0</w:t>
            </w:r>
          </w:p>
        </w:tc>
        <w:tc>
          <w:tcPr>
            <w:tcW w:w="3011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004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1.4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～5.6mm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4.7</w:t>
            </w:r>
          </w:p>
        </w:tc>
        <w:tc>
          <w:tcPr>
            <w:tcW w:w="3011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004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200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＜1.4mm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≤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0.3</w:t>
            </w:r>
          </w:p>
        </w:tc>
        <w:tc>
          <w:tcPr>
            <w:tcW w:w="3011" w:type="dxa"/>
            <w:vMerge w:val="continu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耐磨强度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(%)</w:t>
            </w:r>
          </w:p>
        </w:tc>
        <w:tc>
          <w:tcPr>
            <w:tcW w:w="2332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≥9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011" w:type="dxa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GB/T30202.2-2013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009" w:type="dxa"/>
            <w:gridSpan w:val="2"/>
          </w:tcPr>
          <w:p>
            <w:pPr>
              <w:ind w:firstLine="1200" w:firstLineChars="500"/>
              <w:jc w:val="both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耐压强度(daN)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3011" w:type="dxa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GB/T30202.2-2013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着火点(℃)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460</w:t>
            </w:r>
          </w:p>
        </w:tc>
        <w:tc>
          <w:tcPr>
            <w:tcW w:w="301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GB/T7702.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脱硫值(mg/g)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011" w:type="dxa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GB/T30202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.4</w:t>
            </w:r>
            <w:r>
              <w:rPr>
                <w:rFonts w:hint="eastAsia"/>
                <w:sz w:val="24"/>
                <w:szCs w:val="24"/>
                <w:highlight w:val="none"/>
              </w:rPr>
              <w:t>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脱硝率(%)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40</w:t>
            </w:r>
          </w:p>
        </w:tc>
        <w:tc>
          <w:tcPr>
            <w:tcW w:w="3011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GB/T30202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/>
                <w:sz w:val="24"/>
                <w:szCs w:val="24"/>
                <w:highlight w:val="none"/>
              </w:rPr>
              <w:t>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碘值(mg/g)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380</w:t>
            </w:r>
          </w:p>
        </w:tc>
        <w:tc>
          <w:tcPr>
            <w:tcW w:w="3011" w:type="dxa"/>
          </w:tcPr>
          <w:p>
            <w:pPr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GB/T7702.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0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粒径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(%)</w:t>
            </w:r>
          </w:p>
        </w:tc>
        <w:tc>
          <w:tcPr>
            <w:tcW w:w="2005" w:type="dxa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8.0~9.0mm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95</w:t>
            </w:r>
          </w:p>
        </w:tc>
        <w:tc>
          <w:tcPr>
            <w:tcW w:w="3011" w:type="dxa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灰分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(%)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≤15</w:t>
            </w:r>
          </w:p>
        </w:tc>
        <w:tc>
          <w:tcPr>
            <w:tcW w:w="3011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GB/T7702.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09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挥发分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(%)</w:t>
            </w:r>
          </w:p>
        </w:tc>
        <w:tc>
          <w:tcPr>
            <w:tcW w:w="2332" w:type="dxa"/>
          </w:tcPr>
          <w:p>
            <w:pPr>
              <w:jc w:val="center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≤3</w:t>
            </w:r>
          </w:p>
        </w:tc>
        <w:tc>
          <w:tcPr>
            <w:tcW w:w="3011" w:type="dxa"/>
          </w:tcPr>
          <w:p>
            <w:pPr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212</w:t>
            </w:r>
            <w:r>
              <w:rPr>
                <w:rFonts w:hint="eastAsia"/>
                <w:sz w:val="24"/>
                <w:szCs w:val="24"/>
                <w:highlight w:val="none"/>
              </w:rPr>
              <w:t>-20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09" w:type="dxa"/>
            <w:gridSpan w:val="2"/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比表面积（㎡/g）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310</w:t>
            </w:r>
            <w:r>
              <w:rPr>
                <w:rFonts w:hint="eastAsia"/>
                <w:sz w:val="24"/>
                <w:szCs w:val="24"/>
                <w:highlight w:val="none"/>
              </w:rPr>
              <w:t>~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400</w:t>
            </w:r>
          </w:p>
        </w:tc>
        <w:tc>
          <w:tcPr>
            <w:tcW w:w="3011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GB/T7702.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09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PH值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9.5</w:t>
            </w:r>
            <w:r>
              <w:rPr>
                <w:rFonts w:hint="eastAsia"/>
                <w:sz w:val="24"/>
                <w:szCs w:val="24"/>
                <w:highlight w:val="none"/>
              </w:rPr>
              <w:t>~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11.5</w:t>
            </w:r>
          </w:p>
        </w:tc>
        <w:tc>
          <w:tcPr>
            <w:tcW w:w="3011" w:type="dxa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GB/T7702.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  <w:highlight w:val="none"/>
              </w:rPr>
              <w:t>-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009" w:type="dxa"/>
            <w:gridSpan w:val="2"/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全硫值</w:t>
            </w:r>
          </w:p>
        </w:tc>
        <w:tc>
          <w:tcPr>
            <w:tcW w:w="2332" w:type="dxa"/>
            <w:vAlign w:val="top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≤1.5</w:t>
            </w:r>
          </w:p>
        </w:tc>
        <w:tc>
          <w:tcPr>
            <w:tcW w:w="3011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库伦滴定法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质量、技术标准或要求：</w:t>
      </w:r>
    </w:p>
    <w:p>
      <w:pPr>
        <w:numPr>
          <w:ilvl w:val="0"/>
          <w:numId w:val="0"/>
        </w:numPr>
        <w:ind w:leftChars="0"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sz w:val="28"/>
          <w:szCs w:val="28"/>
          <w:highlight w:val="none"/>
        </w:rPr>
        <w:t>供货的活性焦颗粒应采用Φ9±0.3mm孔径液压模具成型。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注：活性焦性能检测除执行以上标准外，还应按现行有效的国家、行业标准执行。</w:t>
      </w:r>
    </w:p>
    <w:p>
      <w:pPr>
        <w:numPr>
          <w:ilvl w:val="0"/>
          <w:numId w:val="0"/>
        </w:numPr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ascii="仿宋" w:hAnsi="仿宋" w:eastAsia="仿宋"/>
          <w:bCs/>
          <w:sz w:val="28"/>
          <w:szCs w:val="28"/>
          <w:highlight w:val="none"/>
        </w:rPr>
        <w:t>1.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本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协议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适用于青岛特殊钢铁有限公司焦化厂年产</w:t>
      </w:r>
      <w:r>
        <w:rPr>
          <w:rFonts w:ascii="仿宋" w:hAnsi="仿宋" w:eastAsia="仿宋"/>
          <w:bCs/>
          <w:sz w:val="28"/>
          <w:szCs w:val="28"/>
          <w:highlight w:val="none"/>
        </w:rPr>
        <w:t>160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万吨焦炉烟道气净化工程活性焦的规格参数、检验等方面的技术要求。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2</w:t>
      </w:r>
      <w:r>
        <w:rPr>
          <w:rFonts w:ascii="仿宋" w:hAnsi="仿宋" w:eastAsia="仿宋"/>
          <w:bCs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提供的活性焦应是全新的，并符合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的技术要求，同时满足国家的有关安全、环保等强制性法规、标准的要求。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3.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需配备具有检验资质的第三方检测机构出具的检验合格证书，检测机构为中国科学院山西煤炭化学研究所，或具有CNAS或CMA资质认定证书的机构。</w:t>
      </w:r>
    </w:p>
    <w:p>
      <w:pPr>
        <w:ind w:firstLine="560" w:firstLineChars="200"/>
        <w:rPr>
          <w:rFonts w:hint="default" w:ascii="仿宋" w:hAnsi="仿宋" w:eastAsia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4.全硫值在第三方检验合格证书中体现。</w:t>
      </w:r>
    </w:p>
    <w:p>
      <w:pPr>
        <w:ind w:firstLine="560" w:firstLineChars="200"/>
        <w:rPr>
          <w:rFonts w:hint="default" w:ascii="仿宋" w:hAnsi="仿宋" w:eastAsia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所有技术资料和文件中的单位采用中国国家法定计量单位。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交货条件：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交货前十天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将发货清单书面通知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需随车附带与货物一致的盖有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公章的质量证明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</w:rPr>
        <w:t>书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检验合格证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送货单及相关文件，并在送货单和发票上注明合同号；质量证明书及其它质量相关资料及送货清单不得缺漏，否则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将不予卸车或收货。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包装标准：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1、活性焦外包装，应当采用内衬塑料袋的纺织袋包装；包装袋为上下开口，包装袋要便于吊装，包装为1吨/袋，包装袋须防潮、防水。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2、产品包装件外表面上标有产品标准编号、产品型号及名称、商标、级别、批号、发运日期、制造厂名及防潮标志。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3、运输途中需有防雨防潮等必要的防范措施，确保本协议所列材料不变质，不影响使用性能；包装袋须牢固可靠、便于装卸。</w:t>
      </w:r>
    </w:p>
    <w:p>
      <w:pP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验收标准、方法及期限：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1、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应按照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通知的时间、数量要求到货，并配合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验收。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交货时应提供产品质量保证书、检验合格证一式三份，提供送货单四份（仓库两份）。如为进口产品，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需向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提供货物进口报价单、原产地证明及其他相关证明文件；如为代理品牌的产品，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需向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提供所代理产品的出厂证明、质量保证承诺书或其它证明性文件，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保证所供产品与代理品牌完全相符，并注明所供代理产品的品牌明细。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2、按照本协议及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提供的发货清单，由买卖双方有关人员共同对到货材料进行点验、确认后双方在交验清单上签字。当产品验收、使用过程中发现规格型号和质量要求达不到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要求时，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应于一周内解决，经双方确认，若确系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原因造成，由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承担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因此造成的损失。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3、活性焦性能规格验收以第三方检验合格证书为准，乙方提供的第三方检验合格证书需对本次供货的活性焦负责。</w:t>
      </w:r>
    </w:p>
    <w:p>
      <w:pPr>
        <w:rPr>
          <w:rFonts w:ascii="仿宋" w:hAnsi="仿宋" w:eastAsia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 w:val="0"/>
          <w:sz w:val="28"/>
          <w:szCs w:val="28"/>
          <w:highlight w:val="none"/>
          <w:lang w:val="en-US" w:eastAsia="zh-CN"/>
        </w:rPr>
        <w:t>9.</w:t>
      </w:r>
      <w:r>
        <w:rPr>
          <w:rFonts w:hint="eastAsia" w:ascii="仿宋" w:hAnsi="仿宋" w:eastAsia="仿宋"/>
          <w:b/>
          <w:bCs w:val="0"/>
          <w:sz w:val="28"/>
          <w:szCs w:val="28"/>
          <w:highlight w:val="none"/>
        </w:rPr>
        <w:t>关于质量问题的处理规定如下：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1、每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00吨为一批次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2、活性焦的水分、灰分、粒度（5.60～11.20mm）、堆积密度四项指标，每项指标相差1%，扣除当批总金额的1%。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3、耐磨强度≥9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%，当95%≤耐磨强度≤9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%时，每下降1%，扣除当批总金额的2%；耐磨强度＜95%时，退货处理。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4、着火点≥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460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℃，当380℃≤着火点≤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460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℃时，每低5℃，扣除当批总金额的2%；着火点＜380℃时，退货处理。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5、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脱硫值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≥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mg/g，当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mg/g≤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脱硫值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≤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mg/g时，每低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mg/g，扣除当批总金额的2%；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脱硫值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＜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mg/g时，退货处理。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6、脱硝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率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≥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0%，当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0%≤脱硝值≤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0%时，每下降1%，扣除当批总金额的2%；脱硝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率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＜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0 %时，退货处理。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7、耐压强度≥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40daN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，当2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8daN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≤耐压强度≤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40daN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时，每低3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daN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，每吨扣除20元；耐压强度＜25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daN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时，退货处理。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8、全硫值≤1.5，当1.5＜全硫值≤2.0时，每高0.1（不到0.1按照0.1计算），扣除当批总金额的5%，全硫值＞2.0时，在上述扣除基础之上，每高0.1（不到0.1按照0.1计算），扣除当批总金额的10%。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其它约定事项：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1、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及其委托人员在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厂区内应严格遵守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的有关安全制度和规定，配备相应劳动防护用品，凡因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原因发生的安全事故由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负责。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Cs/>
          <w:sz w:val="28"/>
          <w:szCs w:val="28"/>
          <w:highlight w:val="none"/>
        </w:rPr>
        <w:t>2、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保证对在交易过程中所获悉的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甲方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商业秘密进行保密。违反上述保密义务，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乙方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应承担相应的违约责任并负责赔偿由此造成的损失。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1361" w:right="1418" w:bottom="1361" w:left="147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>、本协议的任何变更、补充均应以书面形式做出，并经双方法定代表人或委托代理人签字，双方须加盖公章后生效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11.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其他未尽事宜，甲乙双方友好协商解决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0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12.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本协议一式四份，由甲乙双方签字并盖章后方可生效，本协议作为商务合同附件与商务合同具有同等法律效力。</w:t>
      </w:r>
    </w:p>
    <w:p>
      <w:pPr>
        <w:tabs>
          <w:tab w:val="left" w:pos="1440"/>
        </w:tabs>
        <w:jc w:val="left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甲方：青岛特殊钢铁有限公司　　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乙方： </w:t>
      </w:r>
    </w:p>
    <w:p>
      <w:pPr>
        <w:spacing w:line="520" w:lineRule="exact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代表：　　　　　　　　　　　　　代表：</w:t>
      </w:r>
    </w:p>
    <w:p>
      <w:pPr>
        <w:pStyle w:val="11"/>
        <w:spacing w:before="72"/>
        <w:rPr>
          <w:rFonts w:ascii="仿宋" w:hAnsi="仿宋" w:eastAsia="仿宋" w:cstheme="minorBidi"/>
          <w:bCs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日期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 xml:space="preserve">年   月   日　         日期：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年   月   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11</w:t>
    </w:r>
    <w:r>
      <w:rPr>
        <w:b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17F81"/>
    <w:multiLevelType w:val="singleLevel"/>
    <w:tmpl w:val="95417F8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6A6CE1"/>
    <w:multiLevelType w:val="multilevel"/>
    <w:tmpl w:val="7F6A6CE1"/>
    <w:lvl w:ilvl="0" w:tentative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 w:ascii="宋体" w:hAnsi="宋体" w:eastAsia="宋体"/>
        <w:color w:val="auto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  <w:lvlOverride w:ilvl="0">
      <w:lvl w:ilvl="0" w:tentative="1">
        <w:start w:val="1"/>
        <w:numFmt w:val="decimal"/>
        <w:suff w:val="space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3"/>
        <w:suff w:val="space"/>
        <w:lvlText w:val="%1.%2"/>
        <w:lvlJc w:val="left"/>
        <w:pPr>
          <w:ind w:left="718" w:hanging="576"/>
        </w:pPr>
        <w:rPr>
          <w:rFonts w:hint="default"/>
        </w:rPr>
      </w:lvl>
    </w:lvlOverride>
    <w:lvlOverride w:ilvl="2">
      <w:lvl w:ilvl="2" w:tentative="1">
        <w:start w:val="1"/>
        <w:numFmt w:val="decimal"/>
        <w:suff w:val="space"/>
        <w:lvlText w:val="%1.%2.%3"/>
        <w:lvlJc w:val="left"/>
        <w:pPr>
          <w:ind w:left="720" w:hanging="720"/>
        </w:pPr>
        <w:rPr>
          <w:rFonts w:hint="default"/>
          <w:color w:val="auto"/>
        </w:rPr>
      </w:lvl>
    </w:lvlOverride>
    <w:lvlOverride w:ilvl="3">
      <w:lvl w:ilvl="3" w:tentative="1">
        <w:start w:val="1"/>
        <w:numFmt w:val="decimal"/>
        <w:suff w:val="space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0MjZiZjdmZmJkMTA0MDJlMmVlODNkZWE2N2UxODQifQ=="/>
  </w:docVars>
  <w:rsids>
    <w:rsidRoot w:val="0046199F"/>
    <w:rsid w:val="00051754"/>
    <w:rsid w:val="000654AA"/>
    <w:rsid w:val="000749DF"/>
    <w:rsid w:val="0011750A"/>
    <w:rsid w:val="001978EA"/>
    <w:rsid w:val="001B3F1B"/>
    <w:rsid w:val="001B60BA"/>
    <w:rsid w:val="001C1567"/>
    <w:rsid w:val="00221E2F"/>
    <w:rsid w:val="00240373"/>
    <w:rsid w:val="00251B8B"/>
    <w:rsid w:val="00282927"/>
    <w:rsid w:val="002967BC"/>
    <w:rsid w:val="003027B1"/>
    <w:rsid w:val="00333210"/>
    <w:rsid w:val="00334057"/>
    <w:rsid w:val="0038679C"/>
    <w:rsid w:val="003D1356"/>
    <w:rsid w:val="0046199F"/>
    <w:rsid w:val="00490179"/>
    <w:rsid w:val="004F5A15"/>
    <w:rsid w:val="004F7053"/>
    <w:rsid w:val="0050714D"/>
    <w:rsid w:val="005E36E2"/>
    <w:rsid w:val="005F340F"/>
    <w:rsid w:val="006356D0"/>
    <w:rsid w:val="00742DC3"/>
    <w:rsid w:val="00792497"/>
    <w:rsid w:val="007B1B42"/>
    <w:rsid w:val="007F0516"/>
    <w:rsid w:val="008720B8"/>
    <w:rsid w:val="008C567D"/>
    <w:rsid w:val="009C02C8"/>
    <w:rsid w:val="00AB0A18"/>
    <w:rsid w:val="00B10EC9"/>
    <w:rsid w:val="00C83EEC"/>
    <w:rsid w:val="00ED3E16"/>
    <w:rsid w:val="00FA24AD"/>
    <w:rsid w:val="00FD5859"/>
    <w:rsid w:val="022B749F"/>
    <w:rsid w:val="03167827"/>
    <w:rsid w:val="062B16C3"/>
    <w:rsid w:val="07773724"/>
    <w:rsid w:val="08C23B9D"/>
    <w:rsid w:val="0A2A5056"/>
    <w:rsid w:val="1B950D6B"/>
    <w:rsid w:val="1DEC2A48"/>
    <w:rsid w:val="23E21C7C"/>
    <w:rsid w:val="25B17201"/>
    <w:rsid w:val="2A1F497E"/>
    <w:rsid w:val="2B435C33"/>
    <w:rsid w:val="2CDB3F3D"/>
    <w:rsid w:val="3011524C"/>
    <w:rsid w:val="321A36A5"/>
    <w:rsid w:val="3580423E"/>
    <w:rsid w:val="3D5F3F3E"/>
    <w:rsid w:val="3D744CA9"/>
    <w:rsid w:val="3E791F17"/>
    <w:rsid w:val="40AE7D8D"/>
    <w:rsid w:val="429F6F62"/>
    <w:rsid w:val="45CD2E10"/>
    <w:rsid w:val="48B440C5"/>
    <w:rsid w:val="49667724"/>
    <w:rsid w:val="4C601EF3"/>
    <w:rsid w:val="4CB619E6"/>
    <w:rsid w:val="4F726EE5"/>
    <w:rsid w:val="50215E25"/>
    <w:rsid w:val="52523E38"/>
    <w:rsid w:val="552C5121"/>
    <w:rsid w:val="58734F15"/>
    <w:rsid w:val="58B3084C"/>
    <w:rsid w:val="58FB2546"/>
    <w:rsid w:val="5B3E6680"/>
    <w:rsid w:val="5B720917"/>
    <w:rsid w:val="5CF342AA"/>
    <w:rsid w:val="5F6767A4"/>
    <w:rsid w:val="5FB47906"/>
    <w:rsid w:val="634A51C1"/>
    <w:rsid w:val="684D7768"/>
    <w:rsid w:val="6A363475"/>
    <w:rsid w:val="6B1C595F"/>
    <w:rsid w:val="6DDE4898"/>
    <w:rsid w:val="7053007F"/>
    <w:rsid w:val="70B02A0C"/>
    <w:rsid w:val="72CB74D3"/>
    <w:rsid w:val="753E405E"/>
    <w:rsid w:val="755A13F0"/>
    <w:rsid w:val="77B33187"/>
    <w:rsid w:val="7BAA3F98"/>
    <w:rsid w:val="7C665D3D"/>
    <w:rsid w:val="7D3C7A90"/>
    <w:rsid w:val="7D526B33"/>
    <w:rsid w:val="7E2846FD"/>
    <w:rsid w:val="7EA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next w:val="1"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Lines="50" w:afterLines="50"/>
      <w:outlineLvl w:val="1"/>
    </w:pPr>
    <w:rPr>
      <w:rFonts w:ascii="宋体" w:hAnsi="宋体" w:eastAsia="华文宋体" w:cs="Times New Roman"/>
      <w:b/>
      <w:bCs/>
      <w:sz w:val="28"/>
      <w:szCs w:val="28"/>
      <w:lang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1号标题"/>
    <w:basedOn w:val="2"/>
    <w:qFormat/>
    <w:uiPriority w:val="0"/>
    <w:pPr>
      <w:keepNext w:val="0"/>
      <w:keepLines w:val="0"/>
      <w:spacing w:beforeLines="30" w:afterLines="10" w:line="360" w:lineRule="auto"/>
    </w:pPr>
    <w:rPr>
      <w:rFonts w:ascii="Times New Roman" w:hAnsi="Times New Roman" w:eastAsia="宋体" w:cs="Times New Roman"/>
      <w:b w:val="0"/>
      <w:sz w:val="30"/>
      <w:szCs w:val="32"/>
    </w:rPr>
  </w:style>
  <w:style w:type="paragraph" w:customStyle="1" w:styleId="13">
    <w:name w:val="ace正文"/>
    <w:basedOn w:val="1"/>
    <w:qFormat/>
    <w:uiPriority w:val="0"/>
    <w:pPr>
      <w:adjustRightInd w:val="0"/>
      <w:spacing w:beforeLines="20" w:line="360" w:lineRule="exact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D1212-E76B-48A7-97DA-E6A139CE9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2104</Words>
  <Characters>2556</Characters>
  <Lines>14</Lines>
  <Paragraphs>4</Paragraphs>
  <TotalTime>36</TotalTime>
  <ScaleCrop>false</ScaleCrop>
  <LinksUpToDate>false</LinksUpToDate>
  <CharactersWithSpaces>2620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2019-05-27T04:45:00Z</dcterms:created>
  <dc:creator>sunxw</dc:creator>
  <cp:lastModifiedBy>陈伟</cp:lastModifiedBy>
  <cp:lastPrinted>2023-12-02T03:29:00Z</cp:lastPrinted>
  <dcterms:modified xsi:type="dcterms:W3CDTF">2024-01-20T00:47:01Z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A65E4808B0E94247B1EB6D9922A139DE</vt:lpwstr>
  </property>
</Properties>
</file>